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D5A" w:rsidRDefault="00F33D5A" w:rsidP="00F33D5A">
      <w:pPr>
        <w:pStyle w:val="Style1"/>
        <w:sectPr w:rsidR="00F33D5A">
          <w:headerReference w:type="default" r:id="rId7"/>
          <w:footerReference w:type="default" r:id="rId8"/>
          <w:pgSz w:w="12240" w:h="15840"/>
          <w:pgMar w:top="1440" w:right="1440" w:bottom="1440" w:left="1440" w:header="720" w:footer="720" w:gutter="0"/>
          <w:cols w:space="720"/>
          <w:docGrid w:linePitch="360"/>
        </w:sectPr>
      </w:pPr>
    </w:p>
    <w:p w:rsidR="00CF5644" w:rsidRPr="00E97075" w:rsidRDefault="00F33D5A" w:rsidP="00F33D5A">
      <w:pPr>
        <w:pStyle w:val="Style1"/>
        <w:jc w:val="center"/>
        <w:rPr>
          <w:b/>
        </w:rPr>
      </w:pPr>
      <w:r w:rsidRPr="00E97075">
        <w:rPr>
          <w:b/>
        </w:rPr>
        <w:lastRenderedPageBreak/>
        <w:t>TABLE OF CONTENTS</w:t>
      </w:r>
    </w:p>
    <w:p w:rsidR="00F027D5" w:rsidRDefault="00F027D5" w:rsidP="00F33D5A">
      <w:pPr>
        <w:pStyle w:val="Style1"/>
        <w:jc w:val="center"/>
      </w:pPr>
    </w:p>
    <w:p w:rsidR="00F027D5" w:rsidRDefault="00F027D5" w:rsidP="00F33D5A">
      <w:pPr>
        <w:pStyle w:val="Style1"/>
        <w:jc w:val="center"/>
      </w:pPr>
    </w:p>
    <w:tbl>
      <w:tblPr>
        <w:tblStyle w:val="TableGrid"/>
        <w:tblW w:w="0" w:type="auto"/>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3629"/>
        <w:gridCol w:w="2075"/>
      </w:tblGrid>
      <w:tr w:rsidR="0013736F" w:rsidTr="00E97075">
        <w:tc>
          <w:tcPr>
            <w:tcW w:w="2486" w:type="dxa"/>
          </w:tcPr>
          <w:p w:rsidR="0013736F" w:rsidRPr="0013736F" w:rsidRDefault="0013736F" w:rsidP="00F33D5A">
            <w:pPr>
              <w:pStyle w:val="Style1"/>
              <w:rPr>
                <w:u w:val="single"/>
              </w:rPr>
            </w:pPr>
            <w:r w:rsidRPr="0013736F">
              <w:rPr>
                <w:u w:val="single"/>
              </w:rPr>
              <w:t>Series</w:t>
            </w:r>
          </w:p>
        </w:tc>
        <w:tc>
          <w:tcPr>
            <w:tcW w:w="3629" w:type="dxa"/>
          </w:tcPr>
          <w:p w:rsidR="0013736F" w:rsidRDefault="0013736F" w:rsidP="00F33D5A">
            <w:pPr>
              <w:pStyle w:val="Style1"/>
            </w:pPr>
          </w:p>
        </w:tc>
        <w:tc>
          <w:tcPr>
            <w:tcW w:w="2075" w:type="dxa"/>
          </w:tcPr>
          <w:p w:rsidR="0013736F" w:rsidRPr="0013736F" w:rsidRDefault="0013736F" w:rsidP="0013736F">
            <w:pPr>
              <w:pStyle w:val="Style1"/>
              <w:jc w:val="right"/>
              <w:rPr>
                <w:u w:val="single"/>
              </w:rPr>
            </w:pPr>
            <w:r w:rsidRPr="0013736F">
              <w:rPr>
                <w:u w:val="single"/>
              </w:rPr>
              <w:t>Page</w:t>
            </w:r>
          </w:p>
        </w:tc>
      </w:tr>
      <w:tr w:rsidR="00F027D5" w:rsidTr="00E97075">
        <w:tc>
          <w:tcPr>
            <w:tcW w:w="2486" w:type="dxa"/>
          </w:tcPr>
          <w:p w:rsidR="0013736F" w:rsidRDefault="0013736F" w:rsidP="00F33D5A">
            <w:pPr>
              <w:pStyle w:val="Style1"/>
            </w:pPr>
          </w:p>
        </w:tc>
        <w:tc>
          <w:tcPr>
            <w:tcW w:w="3629" w:type="dxa"/>
          </w:tcPr>
          <w:p w:rsidR="0013736F" w:rsidRDefault="0013736F" w:rsidP="00F33D5A">
            <w:pPr>
              <w:pStyle w:val="Style1"/>
            </w:pPr>
            <w:r>
              <w:t>Brief Description of the Collection</w:t>
            </w:r>
          </w:p>
        </w:tc>
        <w:tc>
          <w:tcPr>
            <w:tcW w:w="2075" w:type="dxa"/>
          </w:tcPr>
          <w:p w:rsidR="0013736F" w:rsidRDefault="0013736F" w:rsidP="0013736F">
            <w:pPr>
              <w:pStyle w:val="Style1"/>
              <w:jc w:val="right"/>
            </w:pPr>
            <w:r>
              <w:t>3</w:t>
            </w:r>
          </w:p>
        </w:tc>
      </w:tr>
      <w:tr w:rsidR="0013736F" w:rsidTr="00E97075">
        <w:tc>
          <w:tcPr>
            <w:tcW w:w="2486" w:type="dxa"/>
          </w:tcPr>
          <w:p w:rsidR="0013736F" w:rsidRDefault="0013736F" w:rsidP="00F33D5A">
            <w:pPr>
              <w:pStyle w:val="Style1"/>
            </w:pPr>
          </w:p>
        </w:tc>
        <w:tc>
          <w:tcPr>
            <w:tcW w:w="3629" w:type="dxa"/>
          </w:tcPr>
          <w:p w:rsidR="0013736F" w:rsidRDefault="0013736F" w:rsidP="00F33D5A">
            <w:pPr>
              <w:pStyle w:val="Style1"/>
            </w:pPr>
            <w:r>
              <w:t>Scope and Content</w:t>
            </w:r>
          </w:p>
        </w:tc>
        <w:tc>
          <w:tcPr>
            <w:tcW w:w="2075" w:type="dxa"/>
          </w:tcPr>
          <w:p w:rsidR="0013736F" w:rsidRDefault="0013736F" w:rsidP="0013736F">
            <w:pPr>
              <w:pStyle w:val="Style1"/>
              <w:jc w:val="right"/>
            </w:pPr>
            <w:r>
              <w:t>4</w:t>
            </w:r>
          </w:p>
        </w:tc>
      </w:tr>
      <w:tr w:rsidR="003B7CF8" w:rsidTr="00E97075">
        <w:tc>
          <w:tcPr>
            <w:tcW w:w="2486" w:type="dxa"/>
          </w:tcPr>
          <w:p w:rsidR="0013736F" w:rsidRDefault="0013736F" w:rsidP="00F33D5A">
            <w:pPr>
              <w:pStyle w:val="Style1"/>
            </w:pPr>
          </w:p>
        </w:tc>
        <w:tc>
          <w:tcPr>
            <w:tcW w:w="3629" w:type="dxa"/>
          </w:tcPr>
          <w:p w:rsidR="0013736F" w:rsidRDefault="00E97075" w:rsidP="00F33D5A">
            <w:pPr>
              <w:pStyle w:val="Style1"/>
            </w:pPr>
            <w:r>
              <w:t>Accession Sheet</w:t>
            </w:r>
          </w:p>
        </w:tc>
        <w:tc>
          <w:tcPr>
            <w:tcW w:w="2075" w:type="dxa"/>
          </w:tcPr>
          <w:p w:rsidR="0013736F" w:rsidRDefault="00E97075" w:rsidP="00E97075">
            <w:pPr>
              <w:pStyle w:val="Style1"/>
              <w:jc w:val="right"/>
            </w:pPr>
            <w:r>
              <w:t>6</w:t>
            </w:r>
          </w:p>
        </w:tc>
      </w:tr>
      <w:tr w:rsidR="00E97075" w:rsidTr="00E97075">
        <w:tc>
          <w:tcPr>
            <w:tcW w:w="2486" w:type="dxa"/>
          </w:tcPr>
          <w:p w:rsidR="00E97075" w:rsidRDefault="00E97075" w:rsidP="00F33D5A">
            <w:pPr>
              <w:pStyle w:val="Style1"/>
            </w:pPr>
          </w:p>
        </w:tc>
        <w:tc>
          <w:tcPr>
            <w:tcW w:w="3629" w:type="dxa"/>
          </w:tcPr>
          <w:p w:rsidR="00E97075" w:rsidRDefault="00E97075" w:rsidP="00F33D5A">
            <w:pPr>
              <w:pStyle w:val="Style1"/>
            </w:pPr>
            <w:r>
              <w:t>Deaccession Sheet</w:t>
            </w:r>
          </w:p>
        </w:tc>
        <w:tc>
          <w:tcPr>
            <w:tcW w:w="2075" w:type="dxa"/>
          </w:tcPr>
          <w:p w:rsidR="00E97075" w:rsidRDefault="00E97075" w:rsidP="00E97075">
            <w:pPr>
              <w:pStyle w:val="Style1"/>
              <w:jc w:val="right"/>
            </w:pPr>
            <w:r>
              <w:t>9</w:t>
            </w:r>
          </w:p>
        </w:tc>
      </w:tr>
      <w:tr w:rsidR="00E97075" w:rsidTr="00E97075">
        <w:tc>
          <w:tcPr>
            <w:tcW w:w="2486" w:type="dxa"/>
          </w:tcPr>
          <w:p w:rsidR="00E97075" w:rsidRDefault="00E97075" w:rsidP="00F33D5A">
            <w:pPr>
              <w:pStyle w:val="Style1"/>
            </w:pPr>
          </w:p>
        </w:tc>
        <w:tc>
          <w:tcPr>
            <w:tcW w:w="3629" w:type="dxa"/>
          </w:tcPr>
          <w:p w:rsidR="00E97075" w:rsidRDefault="00E97075" w:rsidP="00C1649D">
            <w:pPr>
              <w:pStyle w:val="Style1"/>
            </w:pPr>
            <w:r>
              <w:t xml:space="preserve">Loan </w:t>
            </w:r>
            <w:r w:rsidR="00C1649D">
              <w:t>Assessment Sheet</w:t>
            </w:r>
            <w:bookmarkStart w:id="0" w:name="_GoBack"/>
            <w:bookmarkEnd w:id="0"/>
          </w:p>
        </w:tc>
        <w:tc>
          <w:tcPr>
            <w:tcW w:w="2075" w:type="dxa"/>
          </w:tcPr>
          <w:p w:rsidR="00E97075" w:rsidRDefault="00E97075" w:rsidP="00E97075">
            <w:pPr>
              <w:pStyle w:val="Style1"/>
              <w:jc w:val="right"/>
            </w:pPr>
            <w:r>
              <w:t>15</w:t>
            </w:r>
          </w:p>
        </w:tc>
      </w:tr>
      <w:tr w:rsidR="00E97075" w:rsidTr="00E97075">
        <w:tc>
          <w:tcPr>
            <w:tcW w:w="2486" w:type="dxa"/>
          </w:tcPr>
          <w:p w:rsidR="00E97075" w:rsidRDefault="00E97075" w:rsidP="00F33D5A">
            <w:pPr>
              <w:pStyle w:val="Style1"/>
            </w:pPr>
          </w:p>
        </w:tc>
        <w:tc>
          <w:tcPr>
            <w:tcW w:w="3629" w:type="dxa"/>
          </w:tcPr>
          <w:p w:rsidR="00E97075" w:rsidRDefault="00E97075" w:rsidP="00F33D5A">
            <w:pPr>
              <w:pStyle w:val="Style1"/>
            </w:pPr>
            <w:r>
              <w:t>Calendar</w:t>
            </w:r>
          </w:p>
        </w:tc>
        <w:tc>
          <w:tcPr>
            <w:tcW w:w="2075" w:type="dxa"/>
          </w:tcPr>
          <w:p w:rsidR="00E97075" w:rsidRDefault="00E97075" w:rsidP="00E97075">
            <w:pPr>
              <w:pStyle w:val="Style1"/>
              <w:jc w:val="right"/>
            </w:pPr>
            <w:r>
              <w:t>16</w:t>
            </w:r>
          </w:p>
        </w:tc>
      </w:tr>
      <w:tr w:rsidR="00E97075" w:rsidTr="00E97075">
        <w:tc>
          <w:tcPr>
            <w:tcW w:w="2486" w:type="dxa"/>
          </w:tcPr>
          <w:p w:rsidR="00E97075" w:rsidRDefault="00E97075" w:rsidP="00F33D5A">
            <w:pPr>
              <w:pStyle w:val="Style1"/>
            </w:pPr>
          </w:p>
        </w:tc>
        <w:tc>
          <w:tcPr>
            <w:tcW w:w="3629" w:type="dxa"/>
          </w:tcPr>
          <w:p w:rsidR="00E97075" w:rsidRDefault="00E97075" w:rsidP="00F33D5A">
            <w:pPr>
              <w:pStyle w:val="Style1"/>
            </w:pPr>
            <w:r>
              <w:t>Container List</w:t>
            </w:r>
          </w:p>
        </w:tc>
        <w:tc>
          <w:tcPr>
            <w:tcW w:w="2075" w:type="dxa"/>
          </w:tcPr>
          <w:p w:rsidR="00E97075" w:rsidRDefault="00E97075" w:rsidP="00E97075">
            <w:pPr>
              <w:pStyle w:val="Style1"/>
              <w:jc w:val="right"/>
            </w:pPr>
            <w:r>
              <w:t>33</w:t>
            </w:r>
          </w:p>
        </w:tc>
      </w:tr>
      <w:tr w:rsidR="0013736F" w:rsidTr="00E97075">
        <w:tc>
          <w:tcPr>
            <w:tcW w:w="2486" w:type="dxa"/>
          </w:tcPr>
          <w:p w:rsidR="0013736F" w:rsidRDefault="0013736F" w:rsidP="00F33D5A">
            <w:pPr>
              <w:pStyle w:val="Style1"/>
            </w:pPr>
          </w:p>
        </w:tc>
        <w:tc>
          <w:tcPr>
            <w:tcW w:w="3629" w:type="dxa"/>
          </w:tcPr>
          <w:p w:rsidR="0013736F" w:rsidRDefault="0013736F" w:rsidP="00F33D5A">
            <w:pPr>
              <w:pStyle w:val="Style1"/>
            </w:pPr>
          </w:p>
        </w:tc>
        <w:tc>
          <w:tcPr>
            <w:tcW w:w="2075" w:type="dxa"/>
          </w:tcPr>
          <w:p w:rsidR="0013736F" w:rsidRDefault="0013736F" w:rsidP="00F33D5A">
            <w:pPr>
              <w:pStyle w:val="Style1"/>
            </w:pPr>
          </w:p>
        </w:tc>
      </w:tr>
      <w:tr w:rsidR="0013736F" w:rsidTr="003B7CF8">
        <w:tc>
          <w:tcPr>
            <w:tcW w:w="2486" w:type="dxa"/>
          </w:tcPr>
          <w:p w:rsidR="0013736F" w:rsidRDefault="0013736F" w:rsidP="00F33D5A">
            <w:pPr>
              <w:pStyle w:val="Style1"/>
            </w:pPr>
          </w:p>
        </w:tc>
        <w:tc>
          <w:tcPr>
            <w:tcW w:w="3629" w:type="dxa"/>
          </w:tcPr>
          <w:p w:rsidR="0013736F" w:rsidRDefault="0013736F" w:rsidP="00F33D5A">
            <w:pPr>
              <w:pStyle w:val="Style1"/>
            </w:pPr>
          </w:p>
        </w:tc>
        <w:tc>
          <w:tcPr>
            <w:tcW w:w="2075" w:type="dxa"/>
          </w:tcPr>
          <w:p w:rsidR="0013736F" w:rsidRDefault="0013736F" w:rsidP="00F33D5A">
            <w:pPr>
              <w:pStyle w:val="Style1"/>
            </w:pPr>
          </w:p>
        </w:tc>
      </w:tr>
      <w:tr w:rsidR="0013736F" w:rsidTr="003B7CF8">
        <w:tc>
          <w:tcPr>
            <w:tcW w:w="2486" w:type="dxa"/>
          </w:tcPr>
          <w:p w:rsidR="0013736F" w:rsidRDefault="0013736F" w:rsidP="00F33D5A">
            <w:pPr>
              <w:pStyle w:val="Style1"/>
            </w:pPr>
          </w:p>
        </w:tc>
        <w:tc>
          <w:tcPr>
            <w:tcW w:w="3629" w:type="dxa"/>
          </w:tcPr>
          <w:p w:rsidR="0013736F" w:rsidRDefault="0013736F" w:rsidP="00F33D5A">
            <w:pPr>
              <w:pStyle w:val="Style1"/>
            </w:pPr>
          </w:p>
        </w:tc>
        <w:tc>
          <w:tcPr>
            <w:tcW w:w="2075" w:type="dxa"/>
          </w:tcPr>
          <w:p w:rsidR="0013736F" w:rsidRDefault="0013736F" w:rsidP="00F33D5A">
            <w:pPr>
              <w:pStyle w:val="Style1"/>
            </w:pPr>
          </w:p>
        </w:tc>
      </w:tr>
      <w:tr w:rsidR="003B7CF8" w:rsidTr="003B7CF8">
        <w:tc>
          <w:tcPr>
            <w:tcW w:w="2486" w:type="dxa"/>
          </w:tcPr>
          <w:p w:rsidR="0013736F" w:rsidRDefault="0013736F" w:rsidP="00F33D5A">
            <w:pPr>
              <w:pStyle w:val="Style1"/>
            </w:pPr>
          </w:p>
        </w:tc>
        <w:tc>
          <w:tcPr>
            <w:tcW w:w="3629" w:type="dxa"/>
          </w:tcPr>
          <w:p w:rsidR="0013736F" w:rsidRDefault="0013736F" w:rsidP="00F33D5A">
            <w:pPr>
              <w:pStyle w:val="Style1"/>
            </w:pPr>
          </w:p>
        </w:tc>
        <w:tc>
          <w:tcPr>
            <w:tcW w:w="2075" w:type="dxa"/>
          </w:tcPr>
          <w:p w:rsidR="0013736F" w:rsidRDefault="0013736F" w:rsidP="00F33D5A">
            <w:pPr>
              <w:pStyle w:val="Style1"/>
            </w:pPr>
          </w:p>
        </w:tc>
      </w:tr>
    </w:tbl>
    <w:p w:rsidR="00F979E7" w:rsidRPr="00F979E7" w:rsidRDefault="00F979E7" w:rsidP="00F979E7"/>
    <w:p w:rsidR="00F979E7" w:rsidRPr="00F979E7" w:rsidRDefault="00F979E7" w:rsidP="00F979E7"/>
    <w:p w:rsidR="00F979E7" w:rsidRPr="00F979E7" w:rsidRDefault="00F979E7" w:rsidP="00F979E7"/>
    <w:p w:rsidR="00F979E7" w:rsidRPr="00F979E7" w:rsidRDefault="00F979E7" w:rsidP="00F979E7"/>
    <w:p w:rsidR="00F979E7" w:rsidRPr="00F979E7" w:rsidRDefault="00F979E7" w:rsidP="00F979E7"/>
    <w:p w:rsidR="00F979E7" w:rsidRPr="00F979E7" w:rsidRDefault="00F979E7" w:rsidP="00F979E7"/>
    <w:p w:rsidR="00F979E7" w:rsidRPr="00F979E7" w:rsidRDefault="00F979E7" w:rsidP="00F979E7"/>
    <w:p w:rsidR="00F979E7" w:rsidRDefault="00F979E7" w:rsidP="00F979E7">
      <w:pPr>
        <w:pStyle w:val="Style1"/>
        <w:spacing w:line="240" w:lineRule="auto"/>
        <w:jc w:val="right"/>
      </w:pPr>
      <w:r>
        <w:tab/>
        <w:t>x Boxes</w:t>
      </w:r>
    </w:p>
    <w:p w:rsidR="00F979E7" w:rsidRDefault="00F979E7" w:rsidP="00F979E7">
      <w:pPr>
        <w:pStyle w:val="Style1"/>
        <w:spacing w:line="240" w:lineRule="auto"/>
        <w:jc w:val="right"/>
      </w:pPr>
      <w:r>
        <w:t>x Linear Feet</w:t>
      </w:r>
    </w:p>
    <w:p w:rsidR="00742CF4" w:rsidRPr="00F979E7" w:rsidRDefault="00742CF4" w:rsidP="00F979E7">
      <w:pPr>
        <w:tabs>
          <w:tab w:val="left" w:pos="8280"/>
        </w:tabs>
        <w:sectPr w:rsidR="00742CF4" w:rsidRPr="00F979E7">
          <w:pgSz w:w="12240" w:h="15840"/>
          <w:pgMar w:top="1440" w:right="1440" w:bottom="1440" w:left="1440" w:header="720" w:footer="720" w:gutter="0"/>
          <w:cols w:space="720"/>
          <w:docGrid w:linePitch="360"/>
        </w:sectPr>
      </w:pPr>
    </w:p>
    <w:p w:rsidR="00F33D5A" w:rsidRPr="00742CF4" w:rsidRDefault="00742CF4" w:rsidP="00F33D5A">
      <w:pPr>
        <w:pStyle w:val="Style1"/>
        <w:rPr>
          <w:b/>
        </w:rPr>
      </w:pPr>
      <w:r w:rsidRPr="00742CF4">
        <w:rPr>
          <w:b/>
        </w:rPr>
        <w:lastRenderedPageBreak/>
        <w:t>BRIEF DESCRIPTION OF THE COLLECTION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285"/>
      </w:tblGrid>
      <w:tr w:rsidR="00742CF4" w:rsidTr="00AE1EDF">
        <w:tc>
          <w:tcPr>
            <w:tcW w:w="2065" w:type="dxa"/>
          </w:tcPr>
          <w:p w:rsidR="00742CF4" w:rsidRPr="00742CF4" w:rsidRDefault="00742CF4" w:rsidP="00F33D5A">
            <w:pPr>
              <w:pStyle w:val="Style1"/>
              <w:rPr>
                <w:sz w:val="22"/>
              </w:rPr>
            </w:pPr>
            <w:r w:rsidRPr="00742CF4">
              <w:rPr>
                <w:sz w:val="22"/>
              </w:rPr>
              <w:t>Title</w:t>
            </w:r>
          </w:p>
        </w:tc>
        <w:tc>
          <w:tcPr>
            <w:tcW w:w="7285" w:type="dxa"/>
          </w:tcPr>
          <w:p w:rsidR="00742CF4" w:rsidRDefault="009C7D64" w:rsidP="00F33D5A">
            <w:pPr>
              <w:pStyle w:val="Style1"/>
            </w:pPr>
            <w:r>
              <w:t>The Online Library and Museum Heritage Program in the Inland Empire</w:t>
            </w:r>
          </w:p>
        </w:tc>
      </w:tr>
      <w:tr w:rsidR="00742CF4" w:rsidTr="00AE1EDF">
        <w:tc>
          <w:tcPr>
            <w:tcW w:w="2065" w:type="dxa"/>
          </w:tcPr>
          <w:p w:rsidR="00742CF4" w:rsidRPr="00742CF4" w:rsidRDefault="00742CF4" w:rsidP="00F33D5A">
            <w:pPr>
              <w:pStyle w:val="Style1"/>
              <w:rPr>
                <w:sz w:val="22"/>
              </w:rPr>
            </w:pPr>
            <w:r w:rsidRPr="00742CF4">
              <w:rPr>
                <w:sz w:val="22"/>
              </w:rPr>
              <w:t>Extent</w:t>
            </w:r>
          </w:p>
        </w:tc>
        <w:tc>
          <w:tcPr>
            <w:tcW w:w="7285" w:type="dxa"/>
          </w:tcPr>
          <w:p w:rsidR="00742CF4" w:rsidRDefault="009C7D64" w:rsidP="009C7D64">
            <w:pPr>
              <w:pStyle w:val="Style1"/>
              <w:spacing w:line="240" w:lineRule="auto"/>
            </w:pPr>
            <w:r>
              <w:t>x linear feet</w:t>
            </w:r>
          </w:p>
        </w:tc>
      </w:tr>
      <w:tr w:rsidR="00742CF4" w:rsidTr="00AE1EDF">
        <w:tc>
          <w:tcPr>
            <w:tcW w:w="2065" w:type="dxa"/>
          </w:tcPr>
          <w:p w:rsidR="00742CF4" w:rsidRPr="00742CF4" w:rsidRDefault="00742CF4" w:rsidP="00F33D5A">
            <w:pPr>
              <w:pStyle w:val="Style1"/>
              <w:rPr>
                <w:sz w:val="22"/>
              </w:rPr>
            </w:pPr>
            <w:r w:rsidRPr="00742CF4">
              <w:rPr>
                <w:sz w:val="22"/>
              </w:rPr>
              <w:t>Arrangement</w:t>
            </w:r>
          </w:p>
        </w:tc>
        <w:tc>
          <w:tcPr>
            <w:tcW w:w="7285" w:type="dxa"/>
          </w:tcPr>
          <w:p w:rsidR="00742CF4" w:rsidRDefault="009C7D64" w:rsidP="009C7D64">
            <w:pPr>
              <w:pStyle w:val="Style1"/>
              <w:spacing w:line="240" w:lineRule="auto"/>
            </w:pPr>
            <w:r>
              <w:t xml:space="preserve">This collection is currently arranged alphabetically by organization, beginning with the Eta Nu Omega chapter of Alpha Kappa Alpha Sorority, Inc. Within this organization, plans are to arrange the documents </w:t>
            </w:r>
            <w:r w:rsidR="00165F18">
              <w:t>by activity</w:t>
            </w:r>
            <w:r>
              <w:t xml:space="preserve"> and then in chronological order to maintain the historical narrative of the archives.</w:t>
            </w:r>
          </w:p>
        </w:tc>
      </w:tr>
      <w:tr w:rsidR="00742CF4" w:rsidTr="00AE1EDF">
        <w:tc>
          <w:tcPr>
            <w:tcW w:w="2065" w:type="dxa"/>
          </w:tcPr>
          <w:p w:rsidR="00742CF4" w:rsidRPr="00742CF4" w:rsidRDefault="00742CF4" w:rsidP="00F33D5A">
            <w:pPr>
              <w:pStyle w:val="Style1"/>
              <w:rPr>
                <w:sz w:val="22"/>
              </w:rPr>
            </w:pPr>
            <w:r w:rsidRPr="00742CF4">
              <w:rPr>
                <w:sz w:val="22"/>
              </w:rPr>
              <w:t>Provenance</w:t>
            </w:r>
          </w:p>
        </w:tc>
        <w:tc>
          <w:tcPr>
            <w:tcW w:w="7285" w:type="dxa"/>
          </w:tcPr>
          <w:p w:rsidR="00742CF4" w:rsidRDefault="00757FD7" w:rsidP="00757FD7">
            <w:pPr>
              <w:pStyle w:val="Style1"/>
              <w:spacing w:line="240" w:lineRule="auto"/>
            </w:pPr>
            <w:r>
              <w:t xml:space="preserve">TOLAMHP was established in 2014 by former Assemblywoman Wilmer Amina Carter from materials collected over the course of her life in the Inland Empire. </w:t>
            </w:r>
            <w:r w:rsidR="009C7D64">
              <w:t>The material</w:t>
            </w:r>
            <w:r w:rsidR="00B41372">
              <w:t>s in this collection are</w:t>
            </w:r>
            <w:r w:rsidR="009C7D64">
              <w:t xml:space="preserve"> housed in the offices of Creative Business Services, Inc.</w:t>
            </w:r>
          </w:p>
        </w:tc>
      </w:tr>
      <w:tr w:rsidR="00742CF4" w:rsidTr="00AE1EDF">
        <w:tc>
          <w:tcPr>
            <w:tcW w:w="2065" w:type="dxa"/>
          </w:tcPr>
          <w:p w:rsidR="00742CF4" w:rsidRPr="00742CF4" w:rsidRDefault="00742CF4" w:rsidP="00F33D5A">
            <w:pPr>
              <w:pStyle w:val="Style1"/>
              <w:rPr>
                <w:sz w:val="22"/>
              </w:rPr>
            </w:pPr>
            <w:r w:rsidRPr="00742CF4">
              <w:rPr>
                <w:sz w:val="22"/>
              </w:rPr>
              <w:t>Finding Aid</w:t>
            </w:r>
          </w:p>
        </w:tc>
        <w:tc>
          <w:tcPr>
            <w:tcW w:w="7285" w:type="dxa"/>
          </w:tcPr>
          <w:p w:rsidR="00742CF4" w:rsidRDefault="005946DE" w:rsidP="00F33D5A">
            <w:pPr>
              <w:pStyle w:val="Style1"/>
            </w:pPr>
            <w:r>
              <w:t>Printed finding aid in progress.</w:t>
            </w:r>
          </w:p>
        </w:tc>
      </w:tr>
      <w:tr w:rsidR="00742CF4" w:rsidTr="00AE1EDF">
        <w:tc>
          <w:tcPr>
            <w:tcW w:w="2065" w:type="dxa"/>
          </w:tcPr>
          <w:p w:rsidR="00742CF4" w:rsidRPr="00742CF4" w:rsidRDefault="00742CF4" w:rsidP="00F33D5A">
            <w:pPr>
              <w:pStyle w:val="Style1"/>
              <w:rPr>
                <w:sz w:val="22"/>
              </w:rPr>
            </w:pPr>
            <w:r w:rsidRPr="00742CF4">
              <w:rPr>
                <w:sz w:val="22"/>
              </w:rPr>
              <w:t>Preferred Citation</w:t>
            </w:r>
          </w:p>
        </w:tc>
        <w:tc>
          <w:tcPr>
            <w:tcW w:w="7285" w:type="dxa"/>
          </w:tcPr>
          <w:p w:rsidR="00742CF4" w:rsidRDefault="00AB23F7" w:rsidP="00AB23F7">
            <w:pPr>
              <w:pStyle w:val="Style1"/>
              <w:spacing w:line="240" w:lineRule="auto"/>
            </w:pPr>
            <w:r w:rsidRPr="00AB23F7">
              <w:t xml:space="preserve">[Item, Folder #], </w:t>
            </w:r>
            <w:r>
              <w:t>The Online Library and Museum Heritage Program in the Inland Empire, Wilmer Amina Carter Foundation, Creative Business Services, Inc.</w:t>
            </w:r>
            <w:r w:rsidRPr="00AB23F7">
              <w:t xml:space="preserve">, </w:t>
            </w:r>
            <w:r>
              <w:t>Rialto, California 92377</w:t>
            </w:r>
            <w:r w:rsidRPr="00AB23F7">
              <w:t>.</w:t>
            </w:r>
          </w:p>
        </w:tc>
      </w:tr>
      <w:tr w:rsidR="00742CF4" w:rsidTr="00AE1EDF">
        <w:tc>
          <w:tcPr>
            <w:tcW w:w="2065" w:type="dxa"/>
          </w:tcPr>
          <w:p w:rsidR="00742CF4" w:rsidRPr="00742CF4" w:rsidRDefault="00742CF4" w:rsidP="00F33D5A">
            <w:pPr>
              <w:pStyle w:val="Style1"/>
              <w:rPr>
                <w:sz w:val="22"/>
              </w:rPr>
            </w:pPr>
            <w:r w:rsidRPr="00742CF4">
              <w:rPr>
                <w:sz w:val="22"/>
              </w:rPr>
              <w:t>Restrictions</w:t>
            </w:r>
          </w:p>
        </w:tc>
        <w:tc>
          <w:tcPr>
            <w:tcW w:w="7285" w:type="dxa"/>
          </w:tcPr>
          <w:p w:rsidR="00742CF4" w:rsidRDefault="009C7D64" w:rsidP="00F33D5A">
            <w:pPr>
              <w:pStyle w:val="Style1"/>
            </w:pPr>
            <w:r>
              <w:t>None.</w:t>
            </w:r>
          </w:p>
        </w:tc>
      </w:tr>
      <w:tr w:rsidR="00742CF4" w:rsidRPr="00C1649D" w:rsidTr="00AE1EDF">
        <w:tc>
          <w:tcPr>
            <w:tcW w:w="2065" w:type="dxa"/>
          </w:tcPr>
          <w:p w:rsidR="00742CF4" w:rsidRPr="00742CF4" w:rsidRDefault="00742CF4" w:rsidP="00F33D5A">
            <w:pPr>
              <w:pStyle w:val="Style1"/>
              <w:rPr>
                <w:sz w:val="22"/>
              </w:rPr>
            </w:pPr>
            <w:r w:rsidRPr="00742CF4">
              <w:rPr>
                <w:sz w:val="22"/>
              </w:rPr>
              <w:t>Document types</w:t>
            </w:r>
          </w:p>
        </w:tc>
        <w:tc>
          <w:tcPr>
            <w:tcW w:w="7285" w:type="dxa"/>
          </w:tcPr>
          <w:p w:rsidR="00742CF4" w:rsidRPr="00E97075" w:rsidRDefault="00F979E7" w:rsidP="00F979E7">
            <w:pPr>
              <w:pStyle w:val="Style1"/>
              <w:spacing w:line="240" w:lineRule="auto"/>
              <w:rPr>
                <w:lang w:val="fr-FR"/>
              </w:rPr>
            </w:pPr>
            <w:r w:rsidRPr="00E97075">
              <w:rPr>
                <w:lang w:val="fr-FR"/>
              </w:rPr>
              <w:t>Correspondence</w:t>
            </w:r>
          </w:p>
          <w:p w:rsidR="00F979E7" w:rsidRPr="00E97075" w:rsidRDefault="00F979E7" w:rsidP="00F979E7">
            <w:pPr>
              <w:pStyle w:val="Style1"/>
              <w:spacing w:line="240" w:lineRule="auto"/>
              <w:rPr>
                <w:lang w:val="fr-FR"/>
              </w:rPr>
            </w:pPr>
            <w:r w:rsidRPr="00E97075">
              <w:rPr>
                <w:lang w:val="fr-FR"/>
              </w:rPr>
              <w:t>Newspaper Articles</w:t>
            </w:r>
          </w:p>
          <w:p w:rsidR="00F979E7" w:rsidRPr="00E97075" w:rsidRDefault="00F979E7" w:rsidP="00F979E7">
            <w:pPr>
              <w:pStyle w:val="Style1"/>
              <w:spacing w:line="240" w:lineRule="auto"/>
              <w:rPr>
                <w:lang w:val="fr-FR"/>
              </w:rPr>
            </w:pPr>
            <w:r w:rsidRPr="00E97075">
              <w:rPr>
                <w:lang w:val="fr-FR"/>
              </w:rPr>
              <w:t>Photographs</w:t>
            </w:r>
          </w:p>
          <w:p w:rsidR="003D4591" w:rsidRPr="00E97075" w:rsidRDefault="003D4591" w:rsidP="00F979E7">
            <w:pPr>
              <w:pStyle w:val="Style1"/>
              <w:spacing w:line="240" w:lineRule="auto"/>
              <w:rPr>
                <w:lang w:val="fr-FR"/>
              </w:rPr>
            </w:pPr>
            <w:r w:rsidRPr="00E97075">
              <w:rPr>
                <w:lang w:val="fr-FR"/>
              </w:rPr>
              <w:t>Propaganda</w:t>
            </w:r>
          </w:p>
          <w:p w:rsidR="003D4591" w:rsidRPr="00E97075" w:rsidRDefault="003D4591" w:rsidP="00F979E7">
            <w:pPr>
              <w:pStyle w:val="Style1"/>
              <w:spacing w:line="240" w:lineRule="auto"/>
              <w:rPr>
                <w:lang w:val="fr-FR"/>
              </w:rPr>
            </w:pPr>
            <w:r w:rsidRPr="00E97075">
              <w:rPr>
                <w:lang w:val="fr-FR"/>
              </w:rPr>
              <w:t>Newsletters</w:t>
            </w:r>
          </w:p>
          <w:p w:rsidR="003D4591" w:rsidRPr="00E97075" w:rsidRDefault="003D4591" w:rsidP="00F979E7">
            <w:pPr>
              <w:pStyle w:val="Style1"/>
              <w:spacing w:line="240" w:lineRule="auto"/>
              <w:rPr>
                <w:lang w:val="fr-FR"/>
              </w:rPr>
            </w:pPr>
            <w:r w:rsidRPr="00E97075">
              <w:rPr>
                <w:lang w:val="fr-FR"/>
              </w:rPr>
              <w:t>Photocopies of Original Documents</w:t>
            </w:r>
          </w:p>
          <w:p w:rsidR="003D4591" w:rsidRPr="00E97075" w:rsidRDefault="003D4591" w:rsidP="00F979E7">
            <w:pPr>
              <w:pStyle w:val="Style1"/>
              <w:spacing w:line="240" w:lineRule="auto"/>
              <w:rPr>
                <w:lang w:val="fr-FR"/>
              </w:rPr>
            </w:pPr>
            <w:r w:rsidRPr="00E97075">
              <w:rPr>
                <w:lang w:val="fr-FR"/>
              </w:rPr>
              <w:t>Documents (Papers)</w:t>
            </w:r>
          </w:p>
        </w:tc>
      </w:tr>
    </w:tbl>
    <w:p w:rsidR="00742CF4" w:rsidRPr="00E97075" w:rsidRDefault="00742CF4" w:rsidP="00F33D5A">
      <w:pPr>
        <w:pStyle w:val="Style1"/>
        <w:rPr>
          <w:lang w:val="fr-FR"/>
        </w:rPr>
      </w:pPr>
    </w:p>
    <w:p w:rsidR="00AB2D28" w:rsidRPr="00E97075" w:rsidRDefault="00AB2D28" w:rsidP="00F33D5A">
      <w:pPr>
        <w:pStyle w:val="Style1"/>
        <w:rPr>
          <w:lang w:val="fr-FR"/>
        </w:rPr>
        <w:sectPr w:rsidR="00AB2D28" w:rsidRPr="00E97075">
          <w:pgSz w:w="12240" w:h="15840"/>
          <w:pgMar w:top="1440" w:right="1440" w:bottom="1440" w:left="1440" w:header="720" w:footer="720" w:gutter="0"/>
          <w:cols w:space="720"/>
          <w:docGrid w:linePitch="360"/>
        </w:sectPr>
      </w:pPr>
    </w:p>
    <w:p w:rsidR="00C12BB4" w:rsidRDefault="00542F4E" w:rsidP="00542F4E">
      <w:pPr>
        <w:pStyle w:val="Style1"/>
        <w:spacing w:line="240" w:lineRule="auto"/>
        <w:rPr>
          <w:b/>
          <w:bCs/>
          <w:sz w:val="23"/>
          <w:szCs w:val="23"/>
        </w:rPr>
      </w:pPr>
      <w:r>
        <w:rPr>
          <w:b/>
          <w:bCs/>
          <w:sz w:val="23"/>
          <w:szCs w:val="23"/>
        </w:rPr>
        <w:lastRenderedPageBreak/>
        <w:t xml:space="preserve">SCOPE AND CONTENT NOTE: </w:t>
      </w:r>
    </w:p>
    <w:p w:rsidR="00371719" w:rsidRDefault="00C12BB4" w:rsidP="00542F4E">
      <w:pPr>
        <w:pStyle w:val="Style1"/>
        <w:spacing w:line="240" w:lineRule="auto"/>
        <w:rPr>
          <w:bCs/>
          <w:sz w:val="23"/>
          <w:szCs w:val="23"/>
        </w:rPr>
      </w:pPr>
      <w:r>
        <w:rPr>
          <w:bCs/>
          <w:sz w:val="23"/>
          <w:szCs w:val="23"/>
        </w:rPr>
        <w:t>Former Assemblywoman Wilmer Amina Carter represented the 62</w:t>
      </w:r>
      <w:r w:rsidRPr="00C12BB4">
        <w:rPr>
          <w:bCs/>
          <w:sz w:val="23"/>
          <w:szCs w:val="23"/>
          <w:vertAlign w:val="superscript"/>
        </w:rPr>
        <w:t>nd</w:t>
      </w:r>
      <w:r>
        <w:rPr>
          <w:bCs/>
          <w:sz w:val="23"/>
          <w:szCs w:val="23"/>
        </w:rPr>
        <w:t xml:space="preserve"> District in the California Assembly from December 2006 to November 2012. Carter, originally from Mississippi, graduated from three educational facilities in San Bernardino (San Bernardino High School, San Bernardino Valley College, and CSU San Bernardino</w:t>
      </w:r>
      <w:r w:rsidR="00371719">
        <w:rPr>
          <w:bCs/>
          <w:sz w:val="23"/>
          <w:szCs w:val="23"/>
        </w:rPr>
        <w:t xml:space="preserve">). Her career highlights include sixteen years as a trustee with the Rialto Unified School District and twenty-three years as a staff member for the late Congressman George E. Brown Jr. In recognition of her decades of service, a Rialto high school was named for her in 2001—the first high school in the Inland Empire named after a living African-American woman. Carter has been involved in more than thirty local and national organizations, each serving her advocacy for small business ownership, career development, public health, and African-American interests. </w:t>
      </w:r>
    </w:p>
    <w:p w:rsidR="00A3780C" w:rsidRDefault="00A3780C" w:rsidP="00542F4E">
      <w:pPr>
        <w:pStyle w:val="Style1"/>
        <w:spacing w:line="240" w:lineRule="auto"/>
        <w:rPr>
          <w:bCs/>
          <w:sz w:val="23"/>
          <w:szCs w:val="23"/>
        </w:rPr>
      </w:pPr>
    </w:p>
    <w:p w:rsidR="00EA490A" w:rsidRDefault="00371719" w:rsidP="00542F4E">
      <w:pPr>
        <w:pStyle w:val="Style1"/>
        <w:spacing w:line="240" w:lineRule="auto"/>
        <w:rPr>
          <w:bCs/>
          <w:sz w:val="23"/>
          <w:szCs w:val="23"/>
        </w:rPr>
      </w:pPr>
      <w:r w:rsidRPr="00371719">
        <w:rPr>
          <w:bCs/>
          <w:sz w:val="23"/>
          <w:szCs w:val="23"/>
        </w:rPr>
        <w:t>The</w:t>
      </w:r>
      <w:r>
        <w:rPr>
          <w:bCs/>
          <w:sz w:val="23"/>
          <w:szCs w:val="23"/>
        </w:rPr>
        <w:t xml:space="preserve"> bulk of The</w:t>
      </w:r>
      <w:r w:rsidRPr="00371719">
        <w:rPr>
          <w:bCs/>
          <w:sz w:val="23"/>
          <w:szCs w:val="23"/>
        </w:rPr>
        <w:t xml:space="preserve"> Online Library and Museum Heritage Program</w:t>
      </w:r>
      <w:r>
        <w:rPr>
          <w:bCs/>
          <w:sz w:val="23"/>
          <w:szCs w:val="23"/>
        </w:rPr>
        <w:t xml:space="preserve">, established in 2014, derives from Carter’s personal collection of letters, articles, artifacts, etc. gathered over her decades of residence in the Inland Empire. </w:t>
      </w:r>
      <w:r w:rsidR="00A3780C">
        <w:rPr>
          <w:bCs/>
          <w:sz w:val="23"/>
          <w:szCs w:val="23"/>
        </w:rPr>
        <w:t xml:space="preserve">Other future parts of the program include oral histories, donated artifacts, and primary resources from the Inland Empire’s African-American residents. </w:t>
      </w:r>
    </w:p>
    <w:p w:rsidR="00EA490A" w:rsidRDefault="00EA490A" w:rsidP="00542F4E">
      <w:pPr>
        <w:pStyle w:val="Style1"/>
        <w:spacing w:line="240" w:lineRule="auto"/>
        <w:rPr>
          <w:bCs/>
          <w:sz w:val="23"/>
          <w:szCs w:val="23"/>
        </w:rPr>
      </w:pPr>
    </w:p>
    <w:p w:rsidR="00C12BB4" w:rsidRDefault="00A3780C" w:rsidP="00542F4E">
      <w:pPr>
        <w:pStyle w:val="Style1"/>
        <w:spacing w:line="240" w:lineRule="auto"/>
        <w:rPr>
          <w:bCs/>
          <w:sz w:val="23"/>
          <w:szCs w:val="23"/>
        </w:rPr>
      </w:pPr>
      <w:r>
        <w:rPr>
          <w:bCs/>
          <w:sz w:val="23"/>
          <w:szCs w:val="23"/>
        </w:rPr>
        <w:t>The heart of the collection are the materials chronicling Carter’s involvement in Eta Nu Omega, the Riverside/San Bernardino branch of Alpha Kappa Alpha Sorority, Inc. (the first sorority for African-American women [founded at Howard University, 1908]) from 1982—Present. Eta Nu Omega’s dedication to service and uplifting the Inland Empire’s African-American community touches each one of Carter’s particular points of advocacy and forged her connections with longtime black residents of the area.</w:t>
      </w:r>
    </w:p>
    <w:p w:rsidR="00A3780C" w:rsidRDefault="00A3780C" w:rsidP="00542F4E">
      <w:pPr>
        <w:pStyle w:val="Style1"/>
        <w:spacing w:line="240" w:lineRule="auto"/>
        <w:rPr>
          <w:bCs/>
          <w:sz w:val="23"/>
          <w:szCs w:val="23"/>
        </w:rPr>
      </w:pPr>
    </w:p>
    <w:p w:rsidR="00C12BB4" w:rsidRDefault="00542F4E" w:rsidP="00542F4E">
      <w:pPr>
        <w:pStyle w:val="Style1"/>
        <w:spacing w:line="240" w:lineRule="auto"/>
        <w:rPr>
          <w:sz w:val="23"/>
          <w:szCs w:val="23"/>
        </w:rPr>
      </w:pPr>
      <w:r>
        <w:rPr>
          <w:sz w:val="23"/>
          <w:szCs w:val="23"/>
        </w:rPr>
        <w:t>For additional information on</w:t>
      </w:r>
      <w:r w:rsidR="00C12BB4">
        <w:rPr>
          <w:sz w:val="23"/>
          <w:szCs w:val="23"/>
        </w:rPr>
        <w:t xml:space="preserve"> Assemblywoman Wilmer Amina Carter and this collection, see Creative Business Services, Inc. (www.ef-cbs.com/creativebusinessservices/team-view/amina-carter)</w:t>
      </w:r>
    </w:p>
    <w:p w:rsidR="00542F4E" w:rsidRDefault="00542F4E" w:rsidP="00542F4E">
      <w:pPr>
        <w:pStyle w:val="Style1"/>
        <w:spacing w:line="240" w:lineRule="auto"/>
        <w:rPr>
          <w:sz w:val="23"/>
          <w:szCs w:val="23"/>
        </w:rPr>
      </w:pPr>
    </w:p>
    <w:p w:rsidR="00542F4E" w:rsidRDefault="004B0C95" w:rsidP="00542F4E">
      <w:pPr>
        <w:pStyle w:val="Style1"/>
        <w:spacing w:line="240" w:lineRule="auto"/>
        <w:rPr>
          <w:b/>
          <w:bCs/>
          <w:sz w:val="23"/>
          <w:szCs w:val="23"/>
        </w:rPr>
      </w:pPr>
      <w:r>
        <w:rPr>
          <w:b/>
          <w:bCs/>
          <w:sz w:val="23"/>
          <w:szCs w:val="23"/>
        </w:rPr>
        <w:t>OPERATIONS</w:t>
      </w:r>
      <w:r w:rsidR="00542F4E">
        <w:rPr>
          <w:b/>
          <w:bCs/>
          <w:sz w:val="23"/>
          <w:szCs w:val="23"/>
        </w:rPr>
        <w:t xml:space="preserve">: </w:t>
      </w:r>
    </w:p>
    <w:p w:rsidR="00194AD3" w:rsidRDefault="004B0C95" w:rsidP="00542F4E">
      <w:pPr>
        <w:pStyle w:val="Style1"/>
        <w:spacing w:line="240" w:lineRule="auto"/>
        <w:rPr>
          <w:sz w:val="23"/>
          <w:szCs w:val="23"/>
        </w:rPr>
      </w:pPr>
      <w:r>
        <w:rPr>
          <w:sz w:val="23"/>
          <w:szCs w:val="23"/>
        </w:rPr>
        <w:t>As TOLMHP is currently unavailable to the general public, there are no research procedures set in place. Material Reproductions are also unavailable due to the archive being a work in progress. The archive is currently processed and accessed by students at CSU San Bernardino at the rate of $12 per hour. An archivist technician could earn double that amount.</w:t>
      </w:r>
    </w:p>
    <w:p w:rsidR="004B0C95" w:rsidRDefault="004B0C95" w:rsidP="00542F4E">
      <w:pPr>
        <w:pStyle w:val="Style1"/>
        <w:spacing w:line="240" w:lineRule="auto"/>
        <w:rPr>
          <w:sz w:val="23"/>
          <w:szCs w:val="23"/>
        </w:rPr>
      </w:pPr>
    </w:p>
    <w:p w:rsidR="00542F4E" w:rsidRDefault="004B0C95" w:rsidP="00542F4E">
      <w:pPr>
        <w:pStyle w:val="Style1"/>
        <w:spacing w:line="240" w:lineRule="auto"/>
        <w:rPr>
          <w:sz w:val="23"/>
          <w:szCs w:val="23"/>
        </w:rPr>
      </w:pPr>
      <w:r>
        <w:rPr>
          <w:b/>
          <w:bCs/>
          <w:sz w:val="23"/>
          <w:szCs w:val="23"/>
        </w:rPr>
        <w:t>HOURS OF OPERATION &amp; LOCATION</w:t>
      </w:r>
      <w:r w:rsidR="00542F4E">
        <w:rPr>
          <w:b/>
          <w:bCs/>
          <w:sz w:val="23"/>
          <w:szCs w:val="23"/>
        </w:rPr>
        <w:t xml:space="preserve">: </w:t>
      </w:r>
    </w:p>
    <w:p w:rsidR="004B0C95" w:rsidRDefault="004B0C95" w:rsidP="00542F4E">
      <w:pPr>
        <w:pStyle w:val="Style1"/>
        <w:spacing w:line="240" w:lineRule="auto"/>
        <w:rPr>
          <w:sz w:val="23"/>
          <w:szCs w:val="23"/>
        </w:rPr>
      </w:pPr>
      <w:r>
        <w:rPr>
          <w:sz w:val="23"/>
          <w:szCs w:val="23"/>
        </w:rPr>
        <w:t>Monday: 10 AM-3:30 PM</w:t>
      </w:r>
    </w:p>
    <w:p w:rsidR="004B0C95" w:rsidRDefault="004B0C95" w:rsidP="00542F4E">
      <w:pPr>
        <w:pStyle w:val="Style1"/>
        <w:spacing w:line="240" w:lineRule="auto"/>
        <w:rPr>
          <w:sz w:val="23"/>
          <w:szCs w:val="23"/>
        </w:rPr>
      </w:pPr>
      <w:r>
        <w:rPr>
          <w:sz w:val="23"/>
          <w:szCs w:val="23"/>
        </w:rPr>
        <w:t>Wednesday: 10 AM-3:30 PM</w:t>
      </w:r>
    </w:p>
    <w:p w:rsidR="004B0C95" w:rsidRDefault="004B0C95" w:rsidP="00542F4E">
      <w:pPr>
        <w:pStyle w:val="Style1"/>
        <w:spacing w:line="240" w:lineRule="auto"/>
        <w:rPr>
          <w:sz w:val="23"/>
          <w:szCs w:val="23"/>
        </w:rPr>
      </w:pPr>
      <w:r>
        <w:rPr>
          <w:sz w:val="23"/>
          <w:szCs w:val="23"/>
        </w:rPr>
        <w:t>San Bernardino Valley College Library, Room 210</w:t>
      </w:r>
    </w:p>
    <w:p w:rsidR="00C62356" w:rsidRDefault="00C62356" w:rsidP="00542F4E">
      <w:pPr>
        <w:pStyle w:val="Style1"/>
        <w:spacing w:line="240" w:lineRule="auto"/>
        <w:rPr>
          <w:sz w:val="23"/>
          <w:szCs w:val="23"/>
        </w:rPr>
      </w:pPr>
    </w:p>
    <w:p w:rsidR="00542F4E" w:rsidRPr="00E97075" w:rsidRDefault="004B0C95" w:rsidP="00542F4E">
      <w:pPr>
        <w:pStyle w:val="Style1"/>
        <w:spacing w:line="240" w:lineRule="auto"/>
        <w:rPr>
          <w:sz w:val="23"/>
          <w:szCs w:val="23"/>
          <w:lang w:val="fr-FR"/>
        </w:rPr>
      </w:pPr>
      <w:r w:rsidRPr="00E97075">
        <w:rPr>
          <w:b/>
          <w:bCs/>
          <w:sz w:val="23"/>
          <w:szCs w:val="23"/>
          <w:lang w:val="fr-FR"/>
        </w:rPr>
        <w:t>CONTACT INFORMATION</w:t>
      </w:r>
      <w:r w:rsidR="00542F4E" w:rsidRPr="00E97075">
        <w:rPr>
          <w:b/>
          <w:bCs/>
          <w:sz w:val="23"/>
          <w:szCs w:val="23"/>
          <w:lang w:val="fr-FR"/>
        </w:rPr>
        <w:t xml:space="preserve">: </w:t>
      </w:r>
    </w:p>
    <w:p w:rsidR="00C62356" w:rsidRPr="004B0C95" w:rsidRDefault="004B0C95" w:rsidP="00542F4E">
      <w:pPr>
        <w:pStyle w:val="Style1"/>
        <w:spacing w:line="240" w:lineRule="auto"/>
        <w:rPr>
          <w:sz w:val="23"/>
          <w:szCs w:val="23"/>
          <w:lang w:val="fr-FR"/>
        </w:rPr>
      </w:pPr>
      <w:r w:rsidRPr="004B0C95">
        <w:rPr>
          <w:sz w:val="23"/>
          <w:szCs w:val="23"/>
          <w:lang w:val="fr-FR"/>
        </w:rPr>
        <w:t xml:space="preserve">Jamie Zeffrey – </w:t>
      </w:r>
      <w:r w:rsidRPr="003D4591">
        <w:rPr>
          <w:sz w:val="23"/>
          <w:szCs w:val="23"/>
          <w:lang w:val="fr-FR"/>
        </w:rPr>
        <w:t>jamie.zeffrey@gmail.com</w:t>
      </w:r>
    </w:p>
    <w:p w:rsidR="004B0C95" w:rsidRDefault="004B0C95" w:rsidP="00542F4E">
      <w:pPr>
        <w:pStyle w:val="Style1"/>
        <w:spacing w:line="240" w:lineRule="auto"/>
        <w:rPr>
          <w:sz w:val="23"/>
          <w:szCs w:val="23"/>
        </w:rPr>
      </w:pPr>
      <w:r w:rsidRPr="004B0C95">
        <w:rPr>
          <w:sz w:val="23"/>
          <w:szCs w:val="23"/>
        </w:rPr>
        <w:t>Wilmer Amina Carter –</w:t>
      </w:r>
      <w:r>
        <w:rPr>
          <w:sz w:val="23"/>
          <w:szCs w:val="23"/>
        </w:rPr>
        <w:t xml:space="preserve"> </w:t>
      </w:r>
      <w:r w:rsidRPr="004B0C95">
        <w:rPr>
          <w:sz w:val="23"/>
          <w:szCs w:val="23"/>
        </w:rPr>
        <w:t>P.O.</w:t>
      </w:r>
      <w:r>
        <w:rPr>
          <w:sz w:val="23"/>
          <w:szCs w:val="23"/>
        </w:rPr>
        <w:t xml:space="preserve"> Box 332 Rialto, CA 92377</w:t>
      </w:r>
      <w:r w:rsidRPr="004B0C95">
        <w:rPr>
          <w:sz w:val="23"/>
          <w:szCs w:val="23"/>
        </w:rPr>
        <w:t xml:space="preserve"> </w:t>
      </w:r>
    </w:p>
    <w:p w:rsidR="003D4591" w:rsidRDefault="003D4591" w:rsidP="00542F4E">
      <w:pPr>
        <w:pStyle w:val="Style1"/>
        <w:spacing w:line="240" w:lineRule="auto"/>
        <w:rPr>
          <w:sz w:val="23"/>
          <w:szCs w:val="23"/>
        </w:rPr>
      </w:pPr>
    </w:p>
    <w:p w:rsidR="003D4591" w:rsidRPr="003D4591" w:rsidRDefault="003D4591" w:rsidP="00542F4E">
      <w:pPr>
        <w:pStyle w:val="Style1"/>
        <w:spacing w:line="240" w:lineRule="auto"/>
        <w:rPr>
          <w:b/>
          <w:sz w:val="23"/>
          <w:szCs w:val="23"/>
        </w:rPr>
      </w:pPr>
      <w:r w:rsidRPr="003D4591">
        <w:rPr>
          <w:b/>
          <w:sz w:val="23"/>
          <w:szCs w:val="23"/>
        </w:rPr>
        <w:t>LEGAL ISSUES:</w:t>
      </w:r>
    </w:p>
    <w:p w:rsidR="003D4591" w:rsidRDefault="00CB3849" w:rsidP="00542F4E">
      <w:pPr>
        <w:pStyle w:val="Style1"/>
        <w:spacing w:line="240" w:lineRule="auto"/>
        <w:rPr>
          <w:sz w:val="23"/>
          <w:szCs w:val="23"/>
        </w:rPr>
      </w:pPr>
      <w:r>
        <w:rPr>
          <w:sz w:val="23"/>
          <w:szCs w:val="23"/>
        </w:rPr>
        <w:t>The current contents of the collection run the risk of multiple legal issues due to the sensitive materials and the absence of written release forms for copyrighted items. Among</w:t>
      </w:r>
      <w:r w:rsidR="00165F18">
        <w:rPr>
          <w:sz w:val="23"/>
          <w:szCs w:val="23"/>
        </w:rPr>
        <w:t xml:space="preserve"> the sensitive materials are financial documents, tax information, and photocopies of checks. Among the items under copyright are photocopies of periodical articles, official documents from Alpha Kappa Alpha Sorority, Inc., and personal correspondence. Future references should be made for clearing legalities </w:t>
      </w:r>
      <w:r w:rsidR="00165F18">
        <w:rPr>
          <w:sz w:val="23"/>
          <w:szCs w:val="23"/>
        </w:rPr>
        <w:lastRenderedPageBreak/>
        <w:t>and copyrights, accession of sensitive materials, and obtaining written consent for the inclusion of private letters, emails, &amp;c.</w:t>
      </w:r>
    </w:p>
    <w:p w:rsidR="003D4591" w:rsidRDefault="003D4591" w:rsidP="003D4591">
      <w:pPr>
        <w:tabs>
          <w:tab w:val="left" w:pos="3330"/>
        </w:tabs>
        <w:spacing w:line="240" w:lineRule="auto"/>
        <w:contextualSpacing/>
        <w:jc w:val="both"/>
        <w:rPr>
          <w:rFonts w:ascii="Times New Roman" w:hAnsi="Times New Roman" w:cs="Times New Roman"/>
          <w:sz w:val="23"/>
          <w:szCs w:val="23"/>
        </w:rPr>
      </w:pPr>
    </w:p>
    <w:p w:rsidR="003D4591" w:rsidRPr="001F0130" w:rsidRDefault="003D4591" w:rsidP="003D4591">
      <w:pPr>
        <w:tabs>
          <w:tab w:val="left" w:pos="3330"/>
        </w:tabs>
        <w:spacing w:line="240" w:lineRule="auto"/>
        <w:contextualSpacing/>
        <w:jc w:val="both"/>
        <w:rPr>
          <w:rFonts w:ascii="Times New Roman" w:hAnsi="Times New Roman" w:cs="Times New Roman"/>
          <w:b/>
          <w:sz w:val="24"/>
          <w:szCs w:val="24"/>
        </w:rPr>
      </w:pPr>
      <w:r w:rsidRPr="001F0130">
        <w:rPr>
          <w:rFonts w:ascii="Times New Roman" w:hAnsi="Times New Roman" w:cs="Times New Roman"/>
          <w:b/>
          <w:sz w:val="24"/>
          <w:szCs w:val="24"/>
        </w:rPr>
        <w:t>KEY TERMS</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Michael L. Lomax</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United Negro College Fund</w:t>
      </w:r>
    </w:p>
    <w:p w:rsidR="003D4591" w:rsidRPr="00CB3849" w:rsidRDefault="003D4591" w:rsidP="003D4591">
      <w:pPr>
        <w:tabs>
          <w:tab w:val="left" w:pos="3330"/>
        </w:tabs>
        <w:spacing w:line="240" w:lineRule="auto"/>
        <w:contextualSpacing/>
        <w:rPr>
          <w:rFonts w:ascii="Times New Roman" w:hAnsi="Times New Roman" w:cs="Times New Roman"/>
          <w:sz w:val="24"/>
          <w:szCs w:val="24"/>
        </w:rPr>
      </w:pPr>
      <w:r w:rsidRPr="00CB3849">
        <w:rPr>
          <w:rFonts w:ascii="Times New Roman" w:hAnsi="Times New Roman" w:cs="Times New Roman"/>
          <w:sz w:val="24"/>
          <w:szCs w:val="24"/>
        </w:rPr>
        <w:t>Wilmer Amina Carter</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Marion and Charlotte Black</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Shirley Cecil Anderson</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Yvonne Ashe</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California Legislative Black Caucus</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African American Health Institute of San Bernardino County</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African American Mental Health Symposium</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Linda Hart</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Kamala D. Harris</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African American Leaders for Tomorrow</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Mervyn Dymally</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California Black Media</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Bob Farrell</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Freedom Riders</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Eta Nu Omega</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Carolyn House Stewart</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Alpha Kappa Alpha</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San Bernardino County Association of African American Employees</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Twillea Evans-Carthen</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Louella Deetz</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George E. Brown Jr.</w:t>
      </w:r>
    </w:p>
    <w:p w:rsidR="003D4591"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Frances S. Reed Glenn</w:t>
      </w:r>
    </w:p>
    <w:p w:rsidR="003D4591"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Marcus L. Jackson</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Megan Denise Carthan</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Sheik Court, No. 138, Daughters of Isis</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Melanie Sue Holder</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Melody Riley</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Chaya and Chelsea Crowder</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Brenda W. Odell</w:t>
      </w:r>
    </w:p>
    <w:p w:rsidR="003D4591"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Black Culture Foundation</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Ledford Mitchell Cooke, Sr.</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Georgia Floyd Morris</w:t>
      </w:r>
    </w:p>
    <w:p w:rsidR="003D4591" w:rsidRDefault="003D4591" w:rsidP="003D4591">
      <w:pPr>
        <w:tabs>
          <w:tab w:val="left" w:pos="3330"/>
        </w:tabs>
        <w:spacing w:line="240" w:lineRule="auto"/>
        <w:contextualSpacing/>
        <w:rPr>
          <w:rFonts w:ascii="Times New Roman" w:hAnsi="Times New Roman" w:cs="Times New Roman"/>
          <w:sz w:val="24"/>
          <w:szCs w:val="24"/>
        </w:rPr>
      </w:pPr>
      <w:r>
        <w:rPr>
          <w:rFonts w:ascii="Times New Roman" w:hAnsi="Times New Roman" w:cs="Times New Roman"/>
          <w:sz w:val="24"/>
          <w:szCs w:val="24"/>
        </w:rPr>
        <w:t>Belva Holder</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New Focus Community Outreach, Inc.</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Margaret Ross</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Eldred Marshall</w:t>
      </w:r>
    </w:p>
    <w:p w:rsidR="003D4591" w:rsidRPr="003D4591" w:rsidRDefault="003D4591" w:rsidP="003D4591">
      <w:pPr>
        <w:tabs>
          <w:tab w:val="left" w:pos="3330"/>
        </w:tabs>
        <w:spacing w:line="240" w:lineRule="auto"/>
        <w:contextualSpacing/>
        <w:rPr>
          <w:rFonts w:ascii="Times New Roman" w:hAnsi="Times New Roman" w:cs="Times New Roman"/>
          <w:sz w:val="24"/>
          <w:szCs w:val="24"/>
        </w:rPr>
      </w:pPr>
      <w:r w:rsidRPr="003D4591">
        <w:rPr>
          <w:rFonts w:ascii="Times New Roman" w:hAnsi="Times New Roman" w:cs="Times New Roman"/>
          <w:sz w:val="24"/>
          <w:szCs w:val="24"/>
        </w:rPr>
        <w:t>Deborah LeBlanc</w:t>
      </w:r>
    </w:p>
    <w:p w:rsidR="003D4591" w:rsidRPr="001F0130"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The CV Drum</w:t>
      </w:r>
    </w:p>
    <w:p w:rsidR="00542F4E" w:rsidRPr="003D4591" w:rsidRDefault="003D4591" w:rsidP="003D4591">
      <w:pPr>
        <w:tabs>
          <w:tab w:val="left" w:pos="3330"/>
        </w:tabs>
        <w:spacing w:line="240" w:lineRule="auto"/>
        <w:contextualSpacing/>
        <w:rPr>
          <w:rFonts w:ascii="Times New Roman" w:hAnsi="Times New Roman" w:cs="Times New Roman"/>
          <w:sz w:val="24"/>
          <w:szCs w:val="24"/>
        </w:rPr>
      </w:pPr>
      <w:r w:rsidRPr="001F0130">
        <w:rPr>
          <w:rFonts w:ascii="Times New Roman" w:hAnsi="Times New Roman" w:cs="Times New Roman"/>
          <w:sz w:val="24"/>
          <w:szCs w:val="24"/>
        </w:rPr>
        <w:t>Gerri Foxall-Kater</w:t>
      </w:r>
    </w:p>
    <w:sectPr w:rsidR="00542F4E" w:rsidRPr="003D45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0B" w:rsidRDefault="00A7430B" w:rsidP="00F33D5A">
      <w:pPr>
        <w:spacing w:after="0" w:line="240" w:lineRule="auto"/>
      </w:pPr>
      <w:r>
        <w:separator/>
      </w:r>
    </w:p>
  </w:endnote>
  <w:endnote w:type="continuationSeparator" w:id="0">
    <w:p w:rsidR="00A7430B" w:rsidRDefault="00A7430B" w:rsidP="00F33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2354642"/>
      <w:docPartObj>
        <w:docPartGallery w:val="Page Numbers (Bottom of Page)"/>
        <w:docPartUnique/>
      </w:docPartObj>
    </w:sdtPr>
    <w:sdtEndPr>
      <w:rPr>
        <w:rFonts w:ascii="Times New Roman" w:hAnsi="Times New Roman" w:cs="Times New Roman"/>
        <w:noProof/>
        <w:sz w:val="24"/>
      </w:rPr>
    </w:sdtEndPr>
    <w:sdtContent>
      <w:p w:rsidR="00F33D5A" w:rsidRPr="00F33D5A" w:rsidRDefault="00F33D5A">
        <w:pPr>
          <w:pStyle w:val="Footer"/>
          <w:jc w:val="right"/>
          <w:rPr>
            <w:rFonts w:ascii="Times New Roman" w:hAnsi="Times New Roman" w:cs="Times New Roman"/>
            <w:sz w:val="24"/>
          </w:rPr>
        </w:pPr>
        <w:r w:rsidRPr="00F33D5A">
          <w:rPr>
            <w:rFonts w:ascii="Times New Roman" w:hAnsi="Times New Roman" w:cs="Times New Roman"/>
            <w:sz w:val="24"/>
          </w:rPr>
          <w:fldChar w:fldCharType="begin"/>
        </w:r>
        <w:r w:rsidRPr="00F33D5A">
          <w:rPr>
            <w:rFonts w:ascii="Times New Roman" w:hAnsi="Times New Roman" w:cs="Times New Roman"/>
            <w:sz w:val="24"/>
          </w:rPr>
          <w:instrText xml:space="preserve"> PAGE   \* MERGEFORMAT </w:instrText>
        </w:r>
        <w:r w:rsidRPr="00F33D5A">
          <w:rPr>
            <w:rFonts w:ascii="Times New Roman" w:hAnsi="Times New Roman" w:cs="Times New Roman"/>
            <w:sz w:val="24"/>
          </w:rPr>
          <w:fldChar w:fldCharType="separate"/>
        </w:r>
        <w:r w:rsidR="00C1649D">
          <w:rPr>
            <w:rFonts w:ascii="Times New Roman" w:hAnsi="Times New Roman" w:cs="Times New Roman"/>
            <w:noProof/>
            <w:sz w:val="24"/>
          </w:rPr>
          <w:t>5</w:t>
        </w:r>
        <w:r w:rsidRPr="00F33D5A">
          <w:rPr>
            <w:rFonts w:ascii="Times New Roman" w:hAnsi="Times New Roman" w:cs="Times New Roman"/>
            <w:noProof/>
            <w:sz w:val="24"/>
          </w:rPr>
          <w:fldChar w:fldCharType="end"/>
        </w:r>
      </w:p>
    </w:sdtContent>
  </w:sdt>
  <w:p w:rsidR="00F33D5A" w:rsidRDefault="00F33D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0B" w:rsidRDefault="00A7430B" w:rsidP="00F33D5A">
      <w:pPr>
        <w:spacing w:after="0" w:line="240" w:lineRule="auto"/>
      </w:pPr>
      <w:r>
        <w:separator/>
      </w:r>
    </w:p>
  </w:footnote>
  <w:footnote w:type="continuationSeparator" w:id="0">
    <w:p w:rsidR="00A7430B" w:rsidRDefault="00A7430B" w:rsidP="00F33D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D5A" w:rsidRPr="00F33D5A" w:rsidRDefault="00F33D5A" w:rsidP="00F33D5A">
    <w:pPr>
      <w:pStyle w:val="Default"/>
      <w:rPr>
        <w:color w:val="auto"/>
        <w:sz w:val="20"/>
      </w:rPr>
    </w:pPr>
    <w:r w:rsidRPr="00F33D5A">
      <w:rPr>
        <w:color w:val="auto"/>
        <w:sz w:val="20"/>
      </w:rPr>
      <w:t>The Online Library and Museum Heritage Program in the Inland Empire</w:t>
    </w:r>
  </w:p>
  <w:p w:rsidR="00F33D5A" w:rsidRPr="00F33D5A" w:rsidRDefault="00F33D5A" w:rsidP="00F33D5A">
    <w:pPr>
      <w:pStyle w:val="Default"/>
      <w:rPr>
        <w:color w:val="auto"/>
        <w:sz w:val="20"/>
      </w:rPr>
    </w:pPr>
    <w:r w:rsidRPr="00F33D5A">
      <w:rPr>
        <w:color w:val="auto"/>
        <w:sz w:val="20"/>
      </w:rPr>
      <w:t>Wilmer Amina Carter Foundation</w:t>
    </w:r>
  </w:p>
  <w:p w:rsidR="00F33D5A" w:rsidRPr="00F33D5A" w:rsidRDefault="00F33D5A" w:rsidP="00F33D5A">
    <w:pPr>
      <w:pStyle w:val="Default"/>
      <w:rPr>
        <w:color w:val="auto"/>
        <w:sz w:val="20"/>
      </w:rPr>
    </w:pPr>
    <w:r w:rsidRPr="00F33D5A">
      <w:rPr>
        <w:color w:val="auto"/>
        <w:sz w:val="20"/>
      </w:rPr>
      <w:t>Creative Business Services, Inc.</w:t>
    </w:r>
  </w:p>
  <w:p w:rsidR="00F33D5A" w:rsidRDefault="00F33D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D5A"/>
    <w:rsid w:val="000903A6"/>
    <w:rsid w:val="0013736F"/>
    <w:rsid w:val="00165F18"/>
    <w:rsid w:val="00194AD3"/>
    <w:rsid w:val="001E616A"/>
    <w:rsid w:val="001E638B"/>
    <w:rsid w:val="00274A0A"/>
    <w:rsid w:val="00371719"/>
    <w:rsid w:val="003B7CF8"/>
    <w:rsid w:val="003D4591"/>
    <w:rsid w:val="004B0C95"/>
    <w:rsid w:val="00542F4E"/>
    <w:rsid w:val="005946DE"/>
    <w:rsid w:val="00742CF4"/>
    <w:rsid w:val="00757FD7"/>
    <w:rsid w:val="009C7D64"/>
    <w:rsid w:val="00A3780C"/>
    <w:rsid w:val="00A7430B"/>
    <w:rsid w:val="00AB23F7"/>
    <w:rsid w:val="00AB2D28"/>
    <w:rsid w:val="00AE1EDF"/>
    <w:rsid w:val="00B41372"/>
    <w:rsid w:val="00B54689"/>
    <w:rsid w:val="00BA0254"/>
    <w:rsid w:val="00C12BB4"/>
    <w:rsid w:val="00C1649D"/>
    <w:rsid w:val="00C62356"/>
    <w:rsid w:val="00C739F1"/>
    <w:rsid w:val="00CB3849"/>
    <w:rsid w:val="00CF5644"/>
    <w:rsid w:val="00E97075"/>
    <w:rsid w:val="00EA490A"/>
    <w:rsid w:val="00F027D5"/>
    <w:rsid w:val="00F33D5A"/>
    <w:rsid w:val="00F97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1624A-6252-4366-8568-1727B8009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B54689"/>
    <w:pPr>
      <w:spacing w:line="480" w:lineRule="auto"/>
      <w:contextualSpacing/>
    </w:pPr>
    <w:rPr>
      <w:rFonts w:ascii="Times New Roman" w:hAnsi="Times New Roman" w:cs="Times New Roman"/>
      <w:sz w:val="24"/>
    </w:rPr>
  </w:style>
  <w:style w:type="paragraph" w:styleId="Header">
    <w:name w:val="header"/>
    <w:basedOn w:val="Normal"/>
    <w:link w:val="HeaderChar"/>
    <w:uiPriority w:val="99"/>
    <w:unhideWhenUsed/>
    <w:rsid w:val="00F33D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3D5A"/>
  </w:style>
  <w:style w:type="paragraph" w:styleId="Footer">
    <w:name w:val="footer"/>
    <w:basedOn w:val="Normal"/>
    <w:link w:val="FooterChar"/>
    <w:uiPriority w:val="99"/>
    <w:unhideWhenUsed/>
    <w:rsid w:val="00F33D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3D5A"/>
  </w:style>
  <w:style w:type="paragraph" w:customStyle="1" w:styleId="Default">
    <w:name w:val="Default"/>
    <w:rsid w:val="00F33D5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1373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3736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13736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2">
    <w:name w:val="Plain Table 2"/>
    <w:basedOn w:val="TableNormal"/>
    <w:uiPriority w:val="42"/>
    <w:rsid w:val="0013736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44"/>
    <w:rsid w:val="0013736F"/>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13736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13736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194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AD3"/>
    <w:rPr>
      <w:rFonts w:ascii="Segoe UI" w:hAnsi="Segoe UI" w:cs="Segoe UI"/>
      <w:sz w:val="18"/>
      <w:szCs w:val="18"/>
    </w:rPr>
  </w:style>
  <w:style w:type="character" w:styleId="Hyperlink">
    <w:name w:val="Hyperlink"/>
    <w:basedOn w:val="DefaultParagraphFont"/>
    <w:uiPriority w:val="99"/>
    <w:unhideWhenUsed/>
    <w:rsid w:val="004B0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1F05716-3B29-4C51-8714-81A2200ED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825</Words>
  <Characters>4707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dc:creator>
  <cp:keywords/>
  <dc:description/>
  <cp:lastModifiedBy>Angela</cp:lastModifiedBy>
  <cp:revision>7</cp:revision>
  <cp:lastPrinted>2014-11-17T06:34:00Z</cp:lastPrinted>
  <dcterms:created xsi:type="dcterms:W3CDTF">2014-11-17T06:33:00Z</dcterms:created>
  <dcterms:modified xsi:type="dcterms:W3CDTF">2014-11-19T08:18:00Z</dcterms:modified>
</cp:coreProperties>
</file>